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附件2</w:t>
      </w:r>
    </w:p>
    <w:p>
      <w:pPr>
        <w:snapToGrid w:val="0"/>
        <w:spacing w:line="360" w:lineRule="auto"/>
        <w:jc w:val="center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cs="Times New Roman"/>
          <w:color w:val="auto"/>
        </w:rPr>
      </w:pPr>
    </w:p>
    <w:p>
      <w:pPr>
        <w:jc w:val="center"/>
        <w:rPr>
          <w:rFonts w:hint="default" w:ascii="Times New Roman" w:hAnsi="Times New Roman" w:eastAsia="方正小标宋简体" w:cs="Times New Roman"/>
          <w:color w:val="auto"/>
          <w:szCs w:val="32"/>
        </w:rPr>
      </w:pPr>
      <w:r>
        <w:rPr>
          <w:rFonts w:hint="default" w:ascii="Times New Roman" w:hAnsi="Times New Roman" w:eastAsia="方正小标宋简体" w:cs="Times New Roman"/>
          <w:color w:val="auto"/>
          <w:szCs w:val="32"/>
        </w:rPr>
        <w:t>实施《广东省有害生物防制服务机构资质审核标准实施办法》</w:t>
      </w:r>
    </w:p>
    <w:p>
      <w:pPr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</w:rPr>
      </w:pPr>
    </w:p>
    <w:p>
      <w:pPr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</w:rPr>
        <w:t>政策依据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eastAsia="仿宋_GB2312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</w:rPr>
        <w:t>1、《国务院办公厅关于加快推进行业协会商会改革和发展的若干意见》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eastAsia="仿宋_GB2312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</w:rPr>
        <w:t>2、全国爱国卫生运动委员会、卫生部联合发布的《病媒生物预防控制管理规定》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eastAsia="仿宋_GB2312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</w:rPr>
        <w:t>3、广东省人民政府颁发的《广东省病媒生物预防控制管理规定》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eastAsia="仿宋_GB2312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</w:rPr>
        <w:t>4、《国务院关于进一步加强新时期爱国卫生工作的意见》（国发〔2014〕66号）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eastAsia="仿宋_GB2312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  <w:lang w:val="en-US" w:eastAsia="zh-CN"/>
        </w:rPr>
        <w:t>5、</w:t>
      </w:r>
      <w:r>
        <w:rPr>
          <w:rFonts w:hint="default" w:ascii="Times New Roman" w:hAnsi="Times New Roman" w:eastAsia="仿宋_GB2312" w:cs="Times New Roman"/>
          <w:color w:val="auto"/>
        </w:rPr>
        <w:t>《广东省人民政府关于全面深化爱国卫生运动的实施意见》（粤府〔2014〕73号）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仿宋_GB2312" w:cs="Times New Roman"/>
          <w:color w:val="auto"/>
          <w:lang w:val="en-US" w:eastAsia="zh-CN"/>
        </w:rPr>
        <w:t>6、广东省人民政府办公厅印发的</w:t>
      </w:r>
      <w:r>
        <w:rPr>
          <w:rFonts w:hint="default" w:ascii="Times New Roman" w:hAnsi="Times New Roman" w:eastAsia="仿宋_GB2312" w:cs="Times New Roman"/>
          <w:color w:val="auto"/>
        </w:rPr>
        <w:t>《广东省全面深化新时期爱国卫生运动实施方案（2015-2020年）》</w:t>
      </w:r>
      <w:r>
        <w:rPr>
          <w:rFonts w:hint="default" w:ascii="Times New Roman" w:hAnsi="Times New Roman" w:eastAsia="仿宋_GB2312" w:cs="Times New Roman"/>
          <w:color w:val="auto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</w:rPr>
        <w:t>粤府办〔2015〕47号</w:t>
      </w:r>
      <w:r>
        <w:rPr>
          <w:rFonts w:hint="default" w:ascii="Times New Roman" w:hAnsi="Times New Roman" w:eastAsia="仿宋_GB2312" w:cs="Times New Roman"/>
          <w:color w:val="auto"/>
          <w:lang w:eastAsia="zh-CN"/>
        </w:rPr>
        <w:t>）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</w:p>
    <w:p>
      <w:pPr>
        <w:pStyle w:val="2"/>
        <w:snapToGrid w:val="0"/>
        <w:rPr>
          <w:rFonts w:hint="default" w:ascii="Times New Roman" w:hAnsi="Times New Roman" w:cs="Times New Roman"/>
          <w:color w:val="auto"/>
          <w:sz w:val="36"/>
          <w:szCs w:val="36"/>
        </w:rPr>
      </w:pPr>
      <w:bookmarkStart w:id="0" w:name="_GoBack"/>
      <w:r>
        <w:rPr>
          <w:rFonts w:hint="default" w:ascii="Times New Roman" w:hAnsi="Times New Roman" w:cs="Times New Roman"/>
          <w:color w:val="auto"/>
          <w:sz w:val="36"/>
          <w:szCs w:val="36"/>
        </w:rPr>
        <w:t>《广东省有害生物防制服务机构资质审核标准实施办法》（试行）</w:t>
      </w:r>
    </w:p>
    <w:bookmarkEnd w:id="0"/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ind w:firstLine="600" w:firstLineChars="200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第一章 总则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第一条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为了贯彻实施《广东省人民政府关于全面深化爱国卫生运动的实施意见》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《广东省全面深化新时期爱国卫生运动实施方案（2015-2020年）》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等文件要求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，引导有害生物防制服务机构持续提高服务质量，规范市场竞争秩序，营造全行业信用氛围，推动行业的整体健康发展，特制定本办法。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第二条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有害生物防制服务机构是指在室内外环境对鼠、蚊、蝇、蟑螂及其他危害人体健康、影响环境和人类生活与工作、造成经济损失的有害生物进行预防和控制，并向被服务对象收取服务费用的单位。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第三条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资质审核在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广东省有害生物防制协会（以下简称“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省协会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”）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会员单位中开展，遵循自愿申报、综合审核的原则，坚持审核的科学性、公正性、公平性和权威性。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第四条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本实施办法所采用的为省协会《资质审核标准》。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第五条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省协会按照省主管部门赋予协会的职能，负责本办法的组织领导、统筹协调、具体实施。资质审核过程由省协会在“广东省有害生物防制专家库”随机抽取专家（可适当邀请省、市爱卫办或有关专业协会专业人员）组成审</w:t>
      </w:r>
      <w:r>
        <w:rPr>
          <w:rFonts w:hint="eastAsia" w:cs="Times New Roman"/>
          <w:color w:val="auto"/>
          <w:sz w:val="28"/>
          <w:szCs w:val="28"/>
          <w:lang w:eastAsia="zh-CN"/>
        </w:rPr>
        <w:t>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组负责审</w:t>
      </w:r>
      <w:r>
        <w:rPr>
          <w:rFonts w:hint="eastAsia" w:cs="Times New Roman"/>
          <w:color w:val="auto"/>
          <w:sz w:val="28"/>
          <w:szCs w:val="28"/>
          <w:lang w:eastAsia="zh-CN"/>
        </w:rPr>
        <w:t>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。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第二章 资质审核工作程序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第六条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资质评定工作程序：参加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资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审员报名→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资审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员培训→资质审核申请→上报资料→资料审核→现场审核→综合审核→颁发证书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申报企业对获得级别未达到预期的，可</w:t>
      </w:r>
      <w:r>
        <w:rPr>
          <w:rFonts w:hint="eastAsia" w:cs="Times New Roman"/>
          <w:color w:val="auto"/>
          <w:sz w:val="28"/>
          <w:szCs w:val="28"/>
          <w:lang w:eastAsia="zh-CN"/>
        </w:rPr>
        <w:t>在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整改后</w:t>
      </w:r>
      <w:r>
        <w:rPr>
          <w:rFonts w:hint="eastAsia" w:cs="Times New Roman"/>
          <w:color w:val="auto"/>
          <w:sz w:val="28"/>
          <w:szCs w:val="28"/>
          <w:lang w:eastAsia="zh-CN"/>
        </w:rPr>
        <w:t>再作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申报。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第三章 资审员设置与培训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第七条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资审员设置 申报的有害生物防制服务机构内部应配备1-2名资审员，负责资质审核申报的相关工作；有分支机构的，每个分支机构也应配备一名资审员。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第八条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资审员培训 初次申报或申请复审时，资审员均须参加由省协会举办的相关业务培训。参加资审员培训首先应按要求进行报名，资审员培训原则</w:t>
      </w:r>
      <w:r>
        <w:rPr>
          <w:rFonts w:hint="eastAsia" w:cs="Times New Roman"/>
          <w:color w:val="auto"/>
          <w:sz w:val="28"/>
          <w:szCs w:val="28"/>
          <w:lang w:eastAsia="zh-CN"/>
        </w:rPr>
        <w:t>上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在申报前3个月左右举办培训班。</w:t>
      </w:r>
    </w:p>
    <w:p>
      <w:pPr>
        <w:snapToGrid w:val="0"/>
        <w:spacing w:line="360" w:lineRule="auto"/>
        <w:ind w:firstLine="640" w:firstLineChars="200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第四章 申请与上报资料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第九条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申请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参加资质审核的有害生物防制服务机构，应向省协会提出申请。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申请书中应包含以下附件</w:t>
      </w:r>
      <w:r>
        <w:rPr>
          <w:rFonts w:hint="eastAsia" w:cs="Times New Roman"/>
          <w:color w:val="auto"/>
          <w:sz w:val="28"/>
          <w:szCs w:val="28"/>
          <w:lang w:eastAsia="zh-CN"/>
        </w:rPr>
        <w:t>：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1、营业执照副本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税务登记证副本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或统一社会信用代码证复印件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；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2、有害生物防制服务机构法人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代表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身份证复印件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；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en-US" w:eastAsia="zh-CN"/>
        </w:rPr>
        <w:t>3、爱卫部门颁发的《病媒生物预防控制有偿服务机构备案书》复印件。</w:t>
      </w:r>
    </w:p>
    <w:p>
      <w:pPr>
        <w:snapToGrid w:val="0"/>
        <w:spacing w:line="360" w:lineRule="auto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第五章审核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上报资料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按照省协会制定的“有害生物防制服务机构资质审核申报资料”的要求逐项整理资料并上报，提交的资料必须真实有效。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如发现弄虚作假，取消资质审核。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第十一条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资料审核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由审</w:t>
      </w:r>
      <w:r>
        <w:rPr>
          <w:rFonts w:hint="eastAsia" w:cs="Times New Roman"/>
          <w:color w:val="auto"/>
          <w:sz w:val="28"/>
          <w:szCs w:val="28"/>
          <w:lang w:eastAsia="zh-CN"/>
        </w:rPr>
        <w:t>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组对上报资料进行审核。自资料上报2个月内将资料审核结果通知申报的有害生物防制服务机构，资料审核合格的有害生物防制服务机构进入现场审核阶段。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第十二条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现场审核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由评审组对申请的有害生物防制服务机构现场审核。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第十三条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综合审核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由评审组对申报的有害生物防制服务机构综合审核，并将资质审核结果报省协会组织最终审核。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最终审核结果在省协会网站公示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 w:eastAsia="zh-CN"/>
        </w:rPr>
        <w:t>15天，公示期间如发现弄虚作假，一经查实，取消资质审核结果，两年内不得重新申请。</w:t>
      </w:r>
    </w:p>
    <w:p>
      <w:pPr>
        <w:snapToGrid w:val="0"/>
        <w:spacing w:line="360" w:lineRule="auto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第六章发布、发证和换证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第十四条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发布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省协会通过一定形式向社会发布审核的有害生物防制服务机构名单。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第十五条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发证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1、省协会向审核的有害生物防制服务机构颁发《有害生物防制服务资质证书》（以下简称《资质证》），《资质证》分为正本和副本。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2、证书编号为9个数字与1个字母编制，其中前6位数为资质等级评定批准年月，后7-9位数字为顺序号，最后1个字母表示资质等级（从低到高三个级别，分别为C、B、A）。 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3、《资质证》使用“广东省有害生物防制协会”印章。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4、省协会提供网上或档案《资质证》真伪查询。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第十六条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复审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《资质证》有效期3年。有害生物防制服务机构应在《资质证》到期前3个月向省协会提出换证复审申请。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省协会在接到复审申请和上报资料后，应在《资质证》有效期到期前1个月授权省协会组织的评审组完成复审，根据复审结果报省协会审核，并为其换发相应级别的资质证书。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1、复审程序：提交复审申请及第十条所规定的资料、资料复审、现场复审、询问调查复审、颁发证书。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2、复审方法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（1）资料（包括履行年度经营情况上报制度情况）审查，询问调查、现场复审相结合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（2）现场复审比例：应复审总数的50％；其余50%采用询问调查的方式复审。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3、现场复审内容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（1）全面审核，突出重点（防制人员素质结构、员工培训与职业资格证书、防制技术操作规范、服务质量、客户满意率等以及上报资料中变化较大的方面）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（2）资质评审时提出的主要整改问题。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4、复审不合格的有害生物防制服务机构限期3个月内整改；整改后经评审仍不合格的有害生物防制服务机构，其资质资格降级或取消。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第十七条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晋级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一般按顺序晋级（C→B→A）。原则上获得《资质证》1年后的有害生物防制服务机构，具备晋级条件的可申请晋级，并应向省协会提供下列资料： 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1、申请报告一份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2、同上第十条所规定的资料。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第十八条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变更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若有害生物防制服务机构名称、办公地址、法人或负责人等情况有变更，应在主要信息变更后</w:t>
      </w:r>
      <w:r>
        <w:rPr>
          <w:rFonts w:hint="eastAsia" w:cs="Times New Roman"/>
          <w:color w:val="auto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个月内向省协会上报《有害生物防制服务机构资质证书变更登记表》，并提交下列资料：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1、《工商营业执照》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或《统一社会信用代码证》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复印件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2、其他相关资料（如主管部门批文、房屋产权证书或租赁合同等）。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变更手续完成后，将原《资质证》交回，省协会为其换发新的《资质证》，并在网站公布变更信息。如有害生物防制服务机构在主要信息变更后1个月内不办理变更手续，超过时限后需重新申报办理。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第十九条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注销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取得《资质证》的有害生物防制服务机构因故关闭的，应在关闭后</w:t>
      </w:r>
      <w:r>
        <w:rPr>
          <w:rFonts w:hint="eastAsia" w:cs="Times New Roman"/>
          <w:color w:val="auto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个月内向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省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协会交回《资质证》，并登记注销。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有害生物防制服务机构私自转让或违法、违规、过期使用《资质证》的，省协会有权注销其《资质证》。注销《资质证》的相关信息将通过一定形式及时向社会公布。</w:t>
      </w:r>
    </w:p>
    <w:p>
      <w:pPr>
        <w:snapToGrid w:val="0"/>
        <w:spacing w:line="360" w:lineRule="auto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第七章 年度经营情况上报制度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获得《资质证》的有害生物防制服务机构应于每年1月底前向省协会上报上年度工作，凡不按规定要求上报的不能参加资质复审与晋级等。主要上报资料为：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1、业绩报表（服务营业收入情况、年度纳税额）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2、人员变动报表（管理人员、技术人员、主要操作人员）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3、人员参加内部和外部培训报表（参加培训的时间、地点、内容、证书等情况）；企业人员获得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有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害生物防制员职业资格证书汇总表。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4、成功案例经验介绍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5、重大责任事故情况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6、年度工作总结（包括资产和场所、防制人员、组织管理、防制能力、服务质量等）。</w:t>
      </w:r>
    </w:p>
    <w:p>
      <w:pPr>
        <w:snapToGrid w:val="0"/>
        <w:spacing w:line="360" w:lineRule="auto"/>
        <w:rPr>
          <w:rFonts w:hint="default" w:ascii="Times New Roman" w:hAnsi="Times New Roman" w:cs="Times New Roman"/>
          <w:color w:val="auto"/>
          <w:sz w:val="30"/>
          <w:szCs w:val="30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第八章 资质证书的使用与监督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第二十一条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由省协会颁发的《资质证》可在全国范围内使用。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第二十二条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在《资质证》有效期内，有害生物防制服务机构可在广告、宣传中按有关规定使用，也可在招标等正当商业活动中使用。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第二十三条 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资审员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负责本有害生物防制服务机构《资质证》的内部使用监督。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第二十四条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省协会有权按照规定对取得《资质证》的有害生物防制服务机构进行定期和不定期的监督、检查，必要时进行现场检查和索取有关资料，有关有害生物防制服务机构和个人不得拒绝和隐瞒。监督、检查、现场检查主要基于以下情况：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1、有弄虚作假、骗取《资质证》嫌疑的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2、出现较大责任事故的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3、定期报表有作假嫌疑的</w:t>
      </w:r>
      <w:r>
        <w:rPr>
          <w:rFonts w:hint="eastAsia" w:cs="Times New Roman"/>
          <w:color w:val="auto"/>
          <w:sz w:val="28"/>
          <w:szCs w:val="28"/>
          <w:lang w:eastAsia="zh-CN"/>
        </w:rPr>
        <w:t>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4、审核部门认为其他应该监督、检查、现场核查的事项，如业绩明显下滑、主要人员出现大的变动等。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经监督、检查，对问题较轻的责令其限期整改，限期整改不合格的降级或取消其《资质证》。对出现重大责任事故的企业，经省协会查实撤销其资质资格，注销其《资质证》，并限其在2年内不得重新申请。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资质企业应积极参加行业诚信评价，自觉接受行业监督。</w:t>
      </w:r>
    </w:p>
    <w:p>
      <w:pPr>
        <w:snapToGrid w:val="0"/>
        <w:spacing w:line="360" w:lineRule="auto"/>
        <w:rPr>
          <w:rFonts w:hint="default" w:ascii="Times New Roman" w:hAnsi="Times New Roman" w:cs="Times New Roman"/>
          <w:color w:val="auto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第九章 费用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第二十五条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费用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资质审核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收取工本费用</w:t>
      </w:r>
      <w:r>
        <w:rPr>
          <w:rFonts w:hint="default" w:ascii="Times New Roman" w:hAnsi="Times New Roman" w:eastAsia="宋体" w:cs="Times New Roman"/>
          <w:color w:val="auto"/>
          <w:sz w:val="28"/>
          <w:szCs w:val="28"/>
          <w:lang w:eastAsia="zh-CN"/>
        </w:rPr>
        <w:t>￥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 w:eastAsia="zh-CN"/>
        </w:rPr>
        <w:t>13,150.00元（人民币壹万叁仟壹佰伍拾元整），其中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审核工作中必然发生的审核人员的差旅、食宿费用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、专家审核劳务费、管理费用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等，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全部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由</w:t>
      </w:r>
      <w:r>
        <w:rPr>
          <w:rFonts w:hint="default" w:ascii="Times New Roman" w:hAnsi="Times New Roman" w:cs="Times New Roman"/>
          <w:color w:val="auto"/>
          <w:sz w:val="28"/>
          <w:szCs w:val="28"/>
          <w:lang w:eastAsia="zh-CN"/>
        </w:rPr>
        <w:t>省协会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承担。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snapToGrid w:val="0"/>
        <w:spacing w:line="360" w:lineRule="auto"/>
        <w:jc w:val="center"/>
        <w:rPr>
          <w:rFonts w:hint="default" w:ascii="Times New Roman" w:hAnsi="Times New Roman" w:eastAsia="黑体" w:cs="Times New Roman"/>
          <w:color w:val="auto"/>
          <w:sz w:val="30"/>
          <w:szCs w:val="30"/>
        </w:rPr>
      </w:pPr>
      <w:r>
        <w:rPr>
          <w:rFonts w:hint="default" w:ascii="Times New Roman" w:hAnsi="Times New Roman" w:eastAsia="黑体" w:cs="Times New Roman"/>
          <w:color w:val="auto"/>
          <w:sz w:val="30"/>
          <w:szCs w:val="30"/>
        </w:rPr>
        <w:t>第十章 附则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第二十六条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本办法自发布之日起实施。</w:t>
      </w:r>
    </w:p>
    <w:p>
      <w:pPr>
        <w:snapToGrid w:val="0"/>
        <w:spacing w:line="360" w:lineRule="auto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第二十七条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省协会保留对本实施办法的最终解释权。</w:t>
      </w:r>
    </w:p>
    <w:p>
      <w:pPr>
        <w:spacing w:line="360" w:lineRule="auto"/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_x000B__x000C_">
    <w:altName w:val="Times New Roman"/>
    <w:panose1 w:val="00000604030504040204"/>
    <w:charset w:val="01"/>
    <w:family w:val="roman"/>
    <w:pitch w:val="default"/>
    <w:sig w:usb0="00000000" w:usb1="00000000" w:usb2="00000000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Snap ITC">
    <w:panose1 w:val="04040A07060A02020202"/>
    <w:charset w:val="00"/>
    <w:family w:val="auto"/>
    <w:pitch w:val="default"/>
    <w:sig w:usb0="00000003" w:usb1="00000000" w:usb2="00000000" w:usb3="00000000" w:csb0="20000001" w:csb1="0000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w Cen MT">
    <w:panose1 w:val="020B0602020104020603"/>
    <w:charset w:val="00"/>
    <w:family w:val="auto"/>
    <w:pitch w:val="default"/>
    <w:sig w:usb0="00000003" w:usb1="00000000" w:usb2="00000000" w:usb3="00000000" w:csb0="20000003" w:csb1="00000000"/>
  </w:font>
  <w:font w:name="Tw Cen MT Condensed Extra Bold">
    <w:panose1 w:val="020B0803020202020204"/>
    <w:charset w:val="00"/>
    <w:family w:val="auto"/>
    <w:pitch w:val="default"/>
    <w:sig w:usb0="00000003" w:usb1="00000000" w:usb2="00000000" w:usb3="00000000" w:csb0="20000003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Van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Viner Hand ITC">
    <w:panose1 w:val="03070502030502020203"/>
    <w:charset w:val="00"/>
    <w:family w:val="auto"/>
    <w:pitch w:val="default"/>
    <w:sig w:usb0="00000003" w:usb1="00000000" w:usb2="00000000" w:usb3="00000000" w:csb0="20000001" w:csb1="00000000"/>
  </w:font>
  <w:font w:name="Vivaldi">
    <w:panose1 w:val="03020602050506090804"/>
    <w:charset w:val="00"/>
    <w:family w:val="auto"/>
    <w:pitch w:val="default"/>
    <w:sig w:usb0="00000003" w:usb1="00000000" w:usb2="00000000" w:usb3="00000000" w:csb0="20000001" w:csb1="00000000"/>
  </w:font>
  <w:font w:name="Vladimir Script">
    <w:panose1 w:val="03050402040407070305"/>
    <w:charset w:val="00"/>
    <w:family w:val="auto"/>
    <w:pitch w:val="default"/>
    <w:sig w:usb0="00000003" w:usb1="00000000" w:usb2="00000000" w:usb3="00000000" w:csb0="20000001" w:csb1="0000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  <w:font w:name="Onyx">
    <w:panose1 w:val="04050602080702020203"/>
    <w:charset w:val="00"/>
    <w:family w:val="auto"/>
    <w:pitch w:val="default"/>
    <w:sig w:usb0="00000003" w:usb1="00000000" w:usb2="00000000" w:usb3="00000000" w:csb0="20000001" w:csb1="00000000"/>
  </w:font>
  <w:font w:name="Palace Script MT">
    <w:panose1 w:val="030303020206070C0B05"/>
    <w:charset w:val="00"/>
    <w:family w:val="auto"/>
    <w:pitch w:val="default"/>
    <w:sig w:usb0="00000003" w:usb1="00000000" w:usb2="00000000" w:usb3="00000000" w:csb0="20000001" w:csb1="00000000"/>
  </w:font>
  <w:font w:name="Palatino Linotype">
    <w:panose1 w:val="020405020503050A0304"/>
    <w:charset w:val="00"/>
    <w:family w:val="auto"/>
    <w:pitch w:val="default"/>
    <w:sig w:usb0="E0000287" w:usb1="40000013" w:usb2="00000000" w:usb3="00000000" w:csb0="2000019F" w:csb1="00000000"/>
  </w:font>
  <w:font w:name="Papyrus">
    <w:panose1 w:val="03070502060502030205"/>
    <w:charset w:val="00"/>
    <w:family w:val="auto"/>
    <w:pitch w:val="default"/>
    <w:sig w:usb0="00000003" w:usb1="00000000" w:usb2="00000000" w:usb3="00000000" w:csb0="20000001" w:csb1="00000000"/>
  </w:font>
  <w:font w:name="Parchment">
    <w:panose1 w:val="03040602040708040804"/>
    <w:charset w:val="00"/>
    <w:family w:val="auto"/>
    <w:pitch w:val="default"/>
    <w:sig w:usb0="00000003" w:usb1="00000000" w:usb2="00000000" w:usb3="00000000" w:csb0="20000001" w:csb1="00000000"/>
  </w:font>
  <w:font w:name="Perpetua">
    <w:panose1 w:val="02020502060401020303"/>
    <w:charset w:val="00"/>
    <w:family w:val="auto"/>
    <w:pitch w:val="default"/>
    <w:sig w:usb0="00000003" w:usb1="00000000" w:usb2="00000000" w:usb3="00000000" w:csb0="00000001" w:csb1="00000000"/>
  </w:font>
  <w:font w:name="字体管家糖果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AR BLANCA">
    <w:altName w:val="Wide Latin"/>
    <w:panose1 w:val="02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Wide Latin">
    <w:panose1 w:val="020A0A070505050204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EB677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0" w:firstLineChars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76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2016-11-03T02:11:58Z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